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FCE5F17" w:rsidR="00320B18" w:rsidRPr="00237769" w:rsidRDefault="00CF722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6B77F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1988185</wp:posOffset>
                </wp:positionV>
                <wp:extent cx="5143500" cy="5255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25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EB308A" w:rsidRDefault="00EB308A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14540290" w14:textId="77777777" w:rsidR="00EB308A" w:rsidRDefault="00EB308A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2D54522D" w14:textId="77777777" w:rsidR="00EB308A" w:rsidRPr="00CF722C" w:rsidRDefault="00EB308A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014DE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AMLC and Functions</w:t>
                            </w:r>
                          </w:p>
                          <w:p w14:paraId="352B00CD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Act and Its Amendments</w:t>
                            </w:r>
                          </w:p>
                          <w:p w14:paraId="707B4BCD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Phil. Legal Framework </w:t>
                            </w:r>
                          </w:p>
                          <w:p w14:paraId="3F2FEB84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*Cir. No. 706 (Updated AML Rules and Regulations) </w:t>
                            </w:r>
                          </w:p>
                          <w:p w14:paraId="1DF0B59B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 Cir. No. 950 UARR, as Amended </w:t>
                            </w:r>
                          </w:p>
                          <w:p w14:paraId="0F7541A7" w14:textId="77777777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Memorandum No. M-2012 -017</w:t>
                            </w:r>
                          </w:p>
                          <w:p w14:paraId="5B358E25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R.A. No. 0167 Salient Features  </w:t>
                            </w:r>
                          </w:p>
                          <w:p w14:paraId="65EAC6FF" w14:textId="309AF61D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&amp; R.A. No. 10365 Salient Features</w:t>
                            </w:r>
                          </w:p>
                          <w:p w14:paraId="18029271" w14:textId="0940E2E6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Money Laundering Offense and Penalties</w:t>
                            </w:r>
                          </w:p>
                          <w:p w14:paraId="35B8AFE6" w14:textId="194D4AF4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Rules and Regulations, as Amended</w:t>
                            </w:r>
                          </w:p>
                          <w:p w14:paraId="3D043E03" w14:textId="45412B5D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*Amendments to Circular No. 706</w:t>
                            </w:r>
                          </w:p>
                          <w:p w14:paraId="689A1663" w14:textId="145C4ACC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*Legal Basis of AML Rules</w:t>
                            </w:r>
                          </w:p>
                          <w:p w14:paraId="0FA05151" w14:textId="3E0E7630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Policies of the State</w:t>
                            </w:r>
                          </w:p>
                          <w:p w14:paraId="33AE3AB1" w14:textId="5927153C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*Coverage: </w:t>
                            </w:r>
                          </w:p>
                          <w:p w14:paraId="4BD8D9C4" w14:textId="36796804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 BSP Covered Persons</w:t>
                            </w:r>
                          </w:p>
                          <w:p w14:paraId="4B668141" w14:textId="6B0DF619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-AML Risk Management</w:t>
                            </w:r>
                          </w:p>
                          <w:p w14:paraId="6A982D47" w14:textId="11A72036" w:rsidR="00EB308A" w:rsidRPr="00CF722C" w:rsidRDefault="00EB308A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-Customer Identification Process</w:t>
                            </w:r>
                          </w:p>
                          <w:p w14:paraId="66CBCBA9" w14:textId="538B664C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Risk Rating System AML Risk Rating Syste</w:t>
                            </w: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3350F2AE" w14:textId="77777777" w:rsidR="00EB308A" w:rsidRPr="00CF722C" w:rsidRDefault="00EB308A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Question and Answer</w:t>
                            </w:r>
                          </w:p>
                          <w:p w14:paraId="72E4582F" w14:textId="77777777" w:rsidR="00EB308A" w:rsidRPr="00206070" w:rsidRDefault="00EB308A" w:rsidP="00CF722C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156.55pt;width:405pt;height:4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" filled="f" strokecolor="black [3213]" strokeweight="1.25pt">
                <v:textbox>
                  <w:txbxContent>
                    <w:p w14:paraId="706ADFCC" w14:textId="77777777" w:rsidR="00263BB8" w:rsidRDefault="00263BB8" w:rsidP="00CF722C">
                      <w:pPr>
                        <w:rPr>
                          <w:b/>
                        </w:rPr>
                      </w:pPr>
                    </w:p>
                    <w:p w14:paraId="14540290" w14:textId="77777777" w:rsidR="00263BB8" w:rsidRDefault="00263BB8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2D54522D" w14:textId="77777777" w:rsidR="00CF722C" w:rsidRPr="00CF722C" w:rsidRDefault="00CF722C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E3014DE" w14:textId="77777777" w:rsidR="00CF722C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AMLC and Functions</w:t>
                      </w:r>
                    </w:p>
                    <w:p w14:paraId="352B00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Act and Its Amendments</w:t>
                      </w:r>
                    </w:p>
                    <w:p w14:paraId="707B4B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Phil. Legal Framework </w:t>
                      </w:r>
                    </w:p>
                    <w:p w14:paraId="3F2FEB84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*Cir. No. 706 (Updated AML Rules and Regulations) </w:t>
                      </w:r>
                    </w:p>
                    <w:p w14:paraId="1DF0B59B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 Cir. No. 950 UARR, as Amended </w:t>
                      </w:r>
                    </w:p>
                    <w:p w14:paraId="0F7541A7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Memorandum No. M-2012 -017</w:t>
                      </w:r>
                    </w:p>
                    <w:p w14:paraId="5B358E25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R.A. No. 0167 Salient Features  </w:t>
                      </w:r>
                    </w:p>
                    <w:p w14:paraId="65EAC6FF" w14:textId="309AF61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&amp; R.A. No. 10365 Salient Features</w:t>
                      </w:r>
                    </w:p>
                    <w:p w14:paraId="18029271" w14:textId="0940E2E6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Money Laundering Offense and Penalties</w:t>
                      </w:r>
                    </w:p>
                    <w:p w14:paraId="35B8AFE6" w14:textId="194D4AF4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Rules and Regulations, as Amended</w:t>
                      </w:r>
                    </w:p>
                    <w:p w14:paraId="3D043E03" w14:textId="45412B5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Amendments to Circular No. 706</w:t>
                      </w:r>
                    </w:p>
                    <w:p w14:paraId="689A1663" w14:textId="145C4AC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*Legal Basis of AML Rules</w:t>
                      </w:r>
                    </w:p>
                    <w:p w14:paraId="0FA05151" w14:textId="3E0E7630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Policies of the State</w:t>
                      </w:r>
                    </w:p>
                    <w:p w14:paraId="33AE3AB1" w14:textId="5927153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*Coverage: </w:t>
                      </w:r>
                    </w:p>
                    <w:p w14:paraId="4BD8D9C4" w14:textId="36796804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 BSP Covered Persons</w:t>
                      </w:r>
                    </w:p>
                    <w:p w14:paraId="4B668141" w14:textId="6B0DF619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-AML Risk Management</w:t>
                      </w:r>
                    </w:p>
                    <w:p w14:paraId="6A982D47" w14:textId="11A72036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-Customer Identification Process</w:t>
                      </w:r>
                    </w:p>
                    <w:p w14:paraId="66CBCBA9" w14:textId="538B664C" w:rsidR="00263BB8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AML Risk Rating System 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Risk Rating Syste</w:t>
                      </w:r>
                      <w:r w:rsidR="00263BB8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m</w:t>
                      </w:r>
                    </w:p>
                    <w:p w14:paraId="3350F2AE" w14:textId="77777777" w:rsidR="00263BB8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Question and Answer</w:t>
                      </w:r>
                    </w:p>
                    <w:p w14:paraId="72E4582F" w14:textId="77777777" w:rsidR="00263BB8" w:rsidRPr="00206070" w:rsidRDefault="00263BB8" w:rsidP="00CF722C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B22CC20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1831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3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7471975F" w:rsidR="00EB308A" w:rsidRDefault="00EB308A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AMLA SEMINAR</w:t>
                            </w:r>
                          </w:p>
                          <w:p w14:paraId="3F70CE5A" w14:textId="74917F74" w:rsidR="00EB308A" w:rsidRPr="00CF722C" w:rsidRDefault="00EB308A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Cir. 950: Updated AML Rules and Regulations</w:t>
                            </w:r>
                          </w:p>
                          <w:p w14:paraId="2EC270E4" w14:textId="77777777" w:rsidR="00EB308A" w:rsidRPr="00CF722C" w:rsidRDefault="00EB308A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0A299" w14:textId="77777777" w:rsidR="00EB308A" w:rsidRPr="00CF722C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Methodologies</w:t>
                            </w:r>
                          </w:p>
                          <w:p w14:paraId="552A6EFE" w14:textId="7777777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F0F4F1" w14:textId="7545061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Lecture /Discussions and Workshop</w:t>
                            </w:r>
                          </w:p>
                          <w:p w14:paraId="51F1A641" w14:textId="77777777" w:rsidR="00EB308A" w:rsidRPr="00CF722C" w:rsidRDefault="00EB308A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BE5C89" w14:textId="247746F9" w:rsidR="00EB308A" w:rsidRPr="00CF722C" w:rsidRDefault="00EB308A" w:rsidP="00CF722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Expected Participants</w:t>
                            </w:r>
                          </w:p>
                          <w:p w14:paraId="04E16BD6" w14:textId="77777777" w:rsidR="00EB308A" w:rsidRPr="00CF722C" w:rsidRDefault="00EB308A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Directors, 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Compliance Officer, Internal Auditors, </w:t>
                            </w:r>
                          </w:p>
                          <w:p w14:paraId="52F0D1F4" w14:textId="5D5B95CF" w:rsidR="00EB308A" w:rsidRPr="00CF722C" w:rsidRDefault="00EB308A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Managers, Tellers, Cashiers &amp;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Loan Officers</w:t>
                            </w:r>
                          </w:p>
                          <w:p w14:paraId="1440F8EC" w14:textId="68CF9671" w:rsidR="00EB308A" w:rsidRPr="00CF722C" w:rsidRDefault="00EB308A" w:rsidP="0020607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2.05pt;margin-top:12.35pt;width:4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ivo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" filled="f" strokecolor="black [3213]" strokeweight="1.25pt">
                <v:stroke opacity="46003f"/>
                <v:textbox>
                  <w:txbxContent>
                    <w:p w14:paraId="0A59DCDD" w14:textId="7471975F" w:rsidR="00263BB8" w:rsidRDefault="00263BB8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AMLA SEMINAR</w:t>
                      </w:r>
                    </w:p>
                    <w:p w14:paraId="3F70CE5A" w14:textId="74917F74" w:rsidR="00286462" w:rsidRPr="00CF722C" w:rsidRDefault="0028646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Cir.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950: Updated AML Rules and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Regulations</w:t>
                      </w:r>
                      <w:bookmarkStart w:id="1" w:name="_GoBack"/>
                      <w:bookmarkEnd w:id="1"/>
                    </w:p>
                    <w:p w14:paraId="2EC270E4" w14:textId="77777777" w:rsidR="00263BB8" w:rsidRPr="00CF722C" w:rsidRDefault="00263BB8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CC0A299" w14:textId="77777777" w:rsidR="00263BB8" w:rsidRPr="00CF722C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Methodologies</w:t>
                      </w:r>
                    </w:p>
                    <w:p w14:paraId="552A6EFE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7F0F4F1" w14:textId="7545061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Lecture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/</w:t>
                      </w: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Discussions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and Workshop</w:t>
                      </w:r>
                    </w:p>
                    <w:p w14:paraId="51F1A641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5BE5C89" w14:textId="247746F9" w:rsidR="00263BB8" w:rsidRPr="00CF722C" w:rsidRDefault="00263BB8" w:rsidP="00CF722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Expected Participants</w:t>
                      </w:r>
                    </w:p>
                    <w:p w14:paraId="04E16BD6" w14:textId="77777777" w:rsidR="00263BB8" w:rsidRPr="00CF722C" w:rsidRDefault="00263BB8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Directors, </w:t>
                      </w:r>
                      <w:r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Compliance Officer, Internal Auditors, </w:t>
                      </w:r>
                    </w:p>
                    <w:p w14:paraId="52F0D1F4" w14:textId="5D5B95CF" w:rsidR="00263BB8" w:rsidRPr="00CF722C" w:rsidRDefault="00CF722C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Managers, Tellers, Cashiers &amp;</w:t>
                      </w:r>
                      <w:r w:rsidR="00263BB8"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Loan Officers</w:t>
                      </w:r>
                    </w:p>
                    <w:p w14:paraId="1440F8EC" w14:textId="68CF9671" w:rsidR="00263BB8" w:rsidRPr="00CF722C" w:rsidRDefault="00263BB8" w:rsidP="0020607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EB308A" w:rsidRPr="00627E94" w:rsidRDefault="00EB308A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EB308A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548E1C6" w14:textId="0ACC1DA7" w:rsidR="00EB308A" w:rsidRPr="00444068" w:rsidRDefault="00EB308A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Oct 11, 2018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(Thu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3C204D2" w14:textId="77777777" w:rsidR="00EB308A" w:rsidRDefault="00EB308A" w:rsidP="00732A39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</w:p>
                          <w:p w14:paraId="371EF819" w14:textId="653FAA67" w:rsidR="00EB308A" w:rsidRPr="00797384" w:rsidRDefault="00EB308A" w:rsidP="00732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Ambassador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Sala</w:t>
                            </w:r>
                            <w:proofErr w:type="spellEnd"/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Room  </w:t>
                            </w:r>
                          </w:p>
                          <w:p w14:paraId="3A20A0E3" w14:textId="77777777" w:rsidR="00EB308A" w:rsidRPr="00797384" w:rsidRDefault="00EB308A" w:rsidP="00732A3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4"/>
                                <w:szCs w:val="24"/>
                              </w:rPr>
                              <w:t xml:space="preserve">  HOTEL JEN -MANILA</w:t>
                            </w:r>
                          </w:p>
                          <w:p w14:paraId="10C8FB16" w14:textId="77777777" w:rsidR="00EB308A" w:rsidRDefault="00EB308A" w:rsidP="00732A39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97384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001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Roxas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Blvd., Pasay City</w:t>
                            </w:r>
                          </w:p>
                          <w:p w14:paraId="09552D93" w14:textId="77777777" w:rsidR="00EB308A" w:rsidRPr="00C07436" w:rsidRDefault="00EB308A" w:rsidP="00732A39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5E317FE8" w14:textId="13441D26" w:rsidR="00EB308A" w:rsidRPr="00444068" w:rsidRDefault="00EB308A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50DB6C9E" w14:textId="77777777" w:rsidR="00EB308A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7777777" w:rsidR="00EB308A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Resource Persons: </w:t>
                            </w:r>
                          </w:p>
                          <w:p w14:paraId="6027BDE4" w14:textId="1716937D" w:rsidR="00EB308A" w:rsidRDefault="00EB308A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Mary Aileen Padilla, BO -IV</w:t>
                            </w:r>
                          </w:p>
                          <w:p w14:paraId="361ED128" w14:textId="3D886D77" w:rsidR="00EB308A" w:rsidRPr="00532333" w:rsidRDefault="00EB308A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Atty.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Ruel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Bumatay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, Dep.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Dir</w:t>
                            </w:r>
                            <w:proofErr w:type="spellEnd"/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AMLSG ,</w:t>
                            </w:r>
                            <w:proofErr w:type="gramEnd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Banko</w:t>
                            </w:r>
                            <w:proofErr w:type="spellEnd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Sentral</w:t>
                            </w:r>
                            <w:proofErr w:type="spellEnd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Pilipinas</w:t>
                            </w:r>
                            <w:proofErr w:type="spellEnd"/>
                          </w:p>
                          <w:p w14:paraId="6F9BE20E" w14:textId="77777777" w:rsidR="00EB308A" w:rsidRPr="00C07436" w:rsidRDefault="00EB308A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EB308A" w:rsidRDefault="00EB308A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5BC62EBD" w14:textId="77777777" w:rsidR="00EB308A" w:rsidRPr="00C07436" w:rsidRDefault="00EB308A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A0222CE" w14:textId="35DC3411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,3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0.0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    </w:t>
                            </w:r>
                          </w:p>
                          <w:p w14:paraId="2EFE08C9" w14:textId="77777777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3E5E6B6F" w:rsidR="00EB308A" w:rsidRPr="00C07436" w:rsidRDefault="00EB308A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P2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,8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.00</w:t>
                            </w:r>
                            <w:proofErr w:type="gramEnd"/>
                          </w:p>
                          <w:p w14:paraId="42DF5623" w14:textId="77777777" w:rsidR="00EB308A" w:rsidRPr="00C07436" w:rsidRDefault="00EB308A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EB308A" w:rsidRPr="00C07436" w:rsidRDefault="00EB308A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EB308A" w:rsidRPr="00C07436" w:rsidRDefault="00EB308A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EB308A" w:rsidRPr="00C07436" w:rsidRDefault="00EB308A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60E64A6A" w:rsidR="00EB308A" w:rsidRPr="00C07436" w:rsidRDefault="00EB308A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</w:rPr>
                              <w:t>,5</w:t>
                            </w:r>
                            <w:bookmarkStart w:id="0" w:name="_GoBack"/>
                            <w:bookmarkEnd w:id="0"/>
                            <w:r w:rsidRPr="00C07436">
                              <w:rPr>
                                <w:rFonts w:ascii="Palatino" w:hAnsi="Palatino"/>
                              </w:rPr>
                              <w:t>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EB308A" w:rsidRPr="00C07436" w:rsidRDefault="00EB308A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EB308A" w:rsidRPr="00C07436" w:rsidRDefault="00EB308A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EB308A" w:rsidRPr="00C07436" w:rsidRDefault="00EB308A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EB308A" w:rsidRPr="00C07436" w:rsidRDefault="00EB308A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EB308A" w:rsidRPr="00C07436" w:rsidRDefault="00EB308A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735A92A" w14:textId="3DA8841F" w:rsidR="00EB308A" w:rsidRPr="00C07436" w:rsidRDefault="00EB308A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 </w:t>
                            </w:r>
                          </w:p>
                          <w:p w14:paraId="142179BE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EB308A" w:rsidRPr="00C07436" w:rsidRDefault="00EB308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149804D8" w:rsidR="00EB308A" w:rsidRPr="00C07436" w:rsidRDefault="00EB308A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October 05, 2018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EB308A" w:rsidRPr="00C07436" w:rsidRDefault="00EB308A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EB308A" w:rsidRPr="00C07436" w:rsidRDefault="00EB308A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EB308A" w:rsidRPr="00627E94" w:rsidRDefault="00EB308A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EB308A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548E1C6" w14:textId="0ACC1DA7" w:rsidR="00EB308A" w:rsidRPr="00444068" w:rsidRDefault="00EB308A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Oct 11, 2018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(Thu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23C204D2" w14:textId="77777777" w:rsidR="00EB308A" w:rsidRDefault="00EB308A" w:rsidP="00732A39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</w:p>
                    <w:p w14:paraId="371EF819" w14:textId="653FAA67" w:rsidR="00EB308A" w:rsidRPr="00797384" w:rsidRDefault="00EB308A" w:rsidP="00732A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Ambassador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Sala</w:t>
                      </w:r>
                      <w:proofErr w:type="spellEnd"/>
                      <w:r w:rsidRPr="00797384">
                        <w:rPr>
                          <w:sz w:val="24"/>
                          <w:szCs w:val="24"/>
                        </w:rPr>
                        <w:t xml:space="preserve"> Room  </w:t>
                      </w:r>
                    </w:p>
                    <w:p w14:paraId="3A20A0E3" w14:textId="77777777" w:rsidR="00EB308A" w:rsidRPr="00797384" w:rsidRDefault="00EB308A" w:rsidP="00732A39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4"/>
                          <w:szCs w:val="24"/>
                        </w:rPr>
                        <w:t xml:space="preserve">  HOTEL JEN -MANILA</w:t>
                      </w:r>
                    </w:p>
                    <w:p w14:paraId="10C8FB16" w14:textId="77777777" w:rsidR="00EB308A" w:rsidRDefault="00EB308A" w:rsidP="00732A39">
                      <w:pPr>
                        <w:tabs>
                          <w:tab w:val="left" w:pos="720"/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 w:rsidRPr="00797384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001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Roxas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Blvd., Pasay City</w:t>
                      </w:r>
                    </w:p>
                    <w:p w14:paraId="09552D93" w14:textId="77777777" w:rsidR="00EB308A" w:rsidRPr="00C07436" w:rsidRDefault="00EB308A" w:rsidP="00732A39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5E317FE8" w14:textId="13441D26" w:rsidR="00EB308A" w:rsidRPr="00444068" w:rsidRDefault="00EB308A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50DB6C9E" w14:textId="77777777" w:rsidR="00EB308A" w:rsidRDefault="00EB308A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7777777" w:rsidR="00EB308A" w:rsidRDefault="00EB308A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Resource Persons: </w:t>
                      </w:r>
                    </w:p>
                    <w:p w14:paraId="6027BDE4" w14:textId="1716937D" w:rsidR="00EB308A" w:rsidRDefault="00EB308A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Mary Aileen Padilla, BO -IV</w:t>
                      </w:r>
                    </w:p>
                    <w:p w14:paraId="361ED128" w14:textId="3D886D77" w:rsidR="00EB308A" w:rsidRPr="00532333" w:rsidRDefault="00EB308A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Atty.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Ruel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Bumatay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, Dep.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Dir</w:t>
                      </w:r>
                      <w:proofErr w:type="spellEnd"/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AMLSG ,</w:t>
                      </w:r>
                      <w:proofErr w:type="gramEnd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Banko</w:t>
                      </w:r>
                      <w:proofErr w:type="spellEnd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Sentral</w:t>
                      </w:r>
                      <w:proofErr w:type="spellEnd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ng</w:t>
                      </w:r>
                      <w:proofErr w:type="spellEnd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Pilipinas</w:t>
                      </w:r>
                      <w:proofErr w:type="spellEnd"/>
                    </w:p>
                    <w:p w14:paraId="6F9BE20E" w14:textId="77777777" w:rsidR="00EB308A" w:rsidRPr="00C07436" w:rsidRDefault="00EB308A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EB308A" w:rsidRDefault="00EB308A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5BC62EBD" w14:textId="77777777" w:rsidR="00EB308A" w:rsidRPr="00C07436" w:rsidRDefault="00EB308A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2A0222CE" w14:textId="35DC3411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,3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0.0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    </w:t>
                      </w:r>
                    </w:p>
                    <w:p w14:paraId="2EFE08C9" w14:textId="77777777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3E5E6B6F" w:rsidR="00EB308A" w:rsidRPr="00C07436" w:rsidRDefault="00EB308A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P2</w:t>
                      </w:r>
                      <w:proofErr w:type="gramStart"/>
                      <w:r>
                        <w:rPr>
                          <w:rFonts w:ascii="Palatino" w:hAnsi="Palatino"/>
                          <w:u w:val="single"/>
                        </w:rPr>
                        <w:t>,8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.00</w:t>
                      </w:r>
                      <w:proofErr w:type="gramEnd"/>
                    </w:p>
                    <w:p w14:paraId="42DF5623" w14:textId="77777777" w:rsidR="00EB308A" w:rsidRPr="00C07436" w:rsidRDefault="00EB308A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EB308A" w:rsidRPr="00C07436" w:rsidRDefault="00EB308A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EB308A" w:rsidRPr="00C07436" w:rsidRDefault="00EB308A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EB308A" w:rsidRPr="00C07436" w:rsidRDefault="00EB308A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60E64A6A" w:rsidR="00EB308A" w:rsidRPr="00C07436" w:rsidRDefault="00EB308A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1</w:t>
                      </w:r>
                      <w:proofErr w:type="gramStart"/>
                      <w:r>
                        <w:rPr>
                          <w:rFonts w:ascii="Palatino" w:hAnsi="Palatino"/>
                        </w:rPr>
                        <w:t>,5</w:t>
                      </w:r>
                      <w:bookmarkStart w:id="1" w:name="_GoBack"/>
                      <w:bookmarkEnd w:id="1"/>
                      <w:r w:rsidRPr="00C07436">
                        <w:rPr>
                          <w:rFonts w:ascii="Palatino" w:hAnsi="Palatino"/>
                        </w:rPr>
                        <w:t>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EB308A" w:rsidRPr="00C07436" w:rsidRDefault="00EB308A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EB308A" w:rsidRPr="00C07436" w:rsidRDefault="00EB308A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EB308A" w:rsidRPr="00C07436" w:rsidRDefault="00EB308A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EB308A" w:rsidRPr="00C07436" w:rsidRDefault="00EB308A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EB308A" w:rsidRPr="00C07436" w:rsidRDefault="00EB308A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735A92A" w14:textId="3DA8841F" w:rsidR="00EB308A" w:rsidRPr="00C07436" w:rsidRDefault="00EB308A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 </w:t>
                      </w:r>
                    </w:p>
                    <w:p w14:paraId="142179BE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EB308A" w:rsidRPr="00C07436" w:rsidRDefault="00EB308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149804D8" w:rsidR="00EB308A" w:rsidRPr="00C07436" w:rsidRDefault="00EB308A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October 05, 2018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EB308A" w:rsidRPr="00C07436" w:rsidRDefault="00EB308A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EB308A" w:rsidRPr="00C07436" w:rsidRDefault="00EB308A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EB308A" w:rsidRDefault="00EB308A">
      <w:r>
        <w:separator/>
      </w:r>
    </w:p>
  </w:endnote>
  <w:endnote w:type="continuationSeparator" w:id="0">
    <w:p w14:paraId="7ADB8921" w14:textId="77777777" w:rsidR="00EB308A" w:rsidRDefault="00E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EB308A" w:rsidRDefault="00EB308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EB308A" w:rsidRDefault="00EB308A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EB308A" w:rsidRDefault="00EB308A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EB308A" w:rsidRDefault="00EB3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EB308A" w:rsidRDefault="00EB308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EB308A" w:rsidRDefault="00EB308A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EB308A" w:rsidRDefault="00EB308A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EB308A" w:rsidRDefault="00EB308A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EB308A" w:rsidRDefault="00EB308A">
      <w:r>
        <w:separator/>
      </w:r>
    </w:p>
  </w:footnote>
  <w:footnote w:type="continuationSeparator" w:id="0">
    <w:p w14:paraId="6277C55F" w14:textId="77777777" w:rsidR="00EB308A" w:rsidRDefault="00EB3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EB308A" w:rsidRDefault="00EB308A" w:rsidP="00F974F8">
    <w:pPr>
      <w:pStyle w:val="BodyText2"/>
      <w:jc w:val="left"/>
      <w:rPr>
        <w:color w:val="000000"/>
        <w:sz w:val="36"/>
      </w:rPr>
    </w:pPr>
  </w:p>
  <w:p w14:paraId="50B68B27" w14:textId="77777777" w:rsidR="00EB308A" w:rsidRDefault="00EB308A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EB308A" w:rsidRPr="003E2D77" w:rsidRDefault="00EB308A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EB308A" w:rsidRPr="003E2D77" w:rsidRDefault="00EB308A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EB308A" w:rsidRPr="003E2D77" w:rsidRDefault="00EB308A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08B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2190E"/>
    <w:rsid w:val="00135F03"/>
    <w:rsid w:val="001640A9"/>
    <w:rsid w:val="0017786C"/>
    <w:rsid w:val="00187BDF"/>
    <w:rsid w:val="00191D14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8274B"/>
    <w:rsid w:val="00286462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5CFA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32A39"/>
    <w:rsid w:val="00742EA2"/>
    <w:rsid w:val="00747DFD"/>
    <w:rsid w:val="0075373D"/>
    <w:rsid w:val="00775033"/>
    <w:rsid w:val="007851A8"/>
    <w:rsid w:val="00796DC5"/>
    <w:rsid w:val="00797384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94683"/>
    <w:rsid w:val="00AA247E"/>
    <w:rsid w:val="00AC16F5"/>
    <w:rsid w:val="00AE5344"/>
    <w:rsid w:val="00AE7168"/>
    <w:rsid w:val="00AF65BF"/>
    <w:rsid w:val="00AF6CFD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B72CC"/>
    <w:rsid w:val="00BC5155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92DA5"/>
    <w:rsid w:val="00CB3BD8"/>
    <w:rsid w:val="00CC2FF9"/>
    <w:rsid w:val="00CE36DD"/>
    <w:rsid w:val="00CE7B0B"/>
    <w:rsid w:val="00CF46BB"/>
    <w:rsid w:val="00CF5D7D"/>
    <w:rsid w:val="00CF722C"/>
    <w:rsid w:val="00D068EA"/>
    <w:rsid w:val="00D13DC7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304AB"/>
    <w:rsid w:val="00E6492C"/>
    <w:rsid w:val="00E71707"/>
    <w:rsid w:val="00E80C70"/>
    <w:rsid w:val="00E86A78"/>
    <w:rsid w:val="00E91EC9"/>
    <w:rsid w:val="00EA7DF9"/>
    <w:rsid w:val="00EB308A"/>
    <w:rsid w:val="00EE252F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5FDCD-F9FE-4140-8B0B-E9EECC0C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2</cp:revision>
  <cp:lastPrinted>2015-07-02T06:55:00Z</cp:lastPrinted>
  <dcterms:created xsi:type="dcterms:W3CDTF">2018-09-05T05:51:00Z</dcterms:created>
  <dcterms:modified xsi:type="dcterms:W3CDTF">2018-09-05T05:51:00Z</dcterms:modified>
</cp:coreProperties>
</file>